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3260"/>
        <w:gridCol w:w="2835"/>
      </w:tblGrid>
      <w:tr w:rsidR="004756ED" w:rsidRPr="004756ED" w:rsidTr="004756ED">
        <w:trPr>
          <w:trHeight w:val="851"/>
        </w:trPr>
        <w:tc>
          <w:tcPr>
            <w:tcW w:w="1276" w:type="dxa"/>
            <w:tcBorders>
              <w:bottom w:val="single" w:sz="6" w:space="0" w:color="000000"/>
            </w:tcBorders>
            <w:vAlign w:val="bottom"/>
            <w:hideMark/>
          </w:tcPr>
          <w:p w:rsidR="004756ED" w:rsidRPr="004756ED" w:rsidRDefault="004756ED" w:rsidP="0047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6" w:space="0" w:color="000000"/>
            </w:tcBorders>
            <w:vAlign w:val="bottom"/>
            <w:hideMark/>
          </w:tcPr>
          <w:p w:rsidR="004756ED" w:rsidRPr="004756ED" w:rsidRDefault="004756ED" w:rsidP="004756ED">
            <w:pPr>
              <w:spacing w:after="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Ujedinjeni narodi</w:t>
            </w:r>
          </w:p>
        </w:tc>
        <w:tc>
          <w:tcPr>
            <w:tcW w:w="609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756ED" w:rsidRPr="004756ED" w:rsidRDefault="00EF79EF" w:rsidP="004756ED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hr-HR" w:eastAsia="hr-HR"/>
              </w:rPr>
              <w:t>CCPR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/C/HRV/CO/</w:t>
            </w:r>
            <w:r w:rsidR="004756ED" w:rsidRPr="004756E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</w:t>
            </w:r>
          </w:p>
        </w:tc>
      </w:tr>
      <w:tr w:rsidR="004756ED" w:rsidRPr="004756ED" w:rsidTr="004756ED">
        <w:trPr>
          <w:trHeight w:val="2835"/>
        </w:trPr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4756ED" w:rsidRPr="004756ED" w:rsidRDefault="004756ED" w:rsidP="004756ED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C0F92BD" wp14:editId="2C7D52C0">
                  <wp:extent cx="711200" cy="59690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4756ED" w:rsidRPr="004756ED" w:rsidRDefault="004756ED" w:rsidP="004756ED">
            <w:pPr>
              <w:spacing w:before="120"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hr-HR" w:eastAsia="hr-HR"/>
              </w:rPr>
              <w:t xml:space="preserve">Međunarodni pakt o </w:t>
            </w:r>
            <w:r w:rsidRPr="004756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Pr="004756ED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hr-HR" w:eastAsia="hr-HR"/>
              </w:rPr>
              <w:t>građanskim i političkim pravima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4756ED" w:rsidRPr="004756ED" w:rsidRDefault="004756ED" w:rsidP="004756ED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Distr .: General</w:t>
            </w:r>
          </w:p>
          <w:p w:rsidR="004756ED" w:rsidRPr="004756ED" w:rsidRDefault="004756ED" w:rsidP="004756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30. travnja 2015</w:t>
            </w:r>
          </w:p>
          <w:p w:rsidR="004756ED" w:rsidRPr="004756ED" w:rsidRDefault="004756ED" w:rsidP="004756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  <w:p w:rsidR="004756ED" w:rsidRPr="004756ED" w:rsidRDefault="004756ED" w:rsidP="004756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56E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Izvornik: engleski</w:t>
            </w:r>
            <w:r w:rsidR="007C0C5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jezik</w:t>
            </w:r>
          </w:p>
        </w:tc>
      </w:tr>
    </w:tbl>
    <w:p w:rsidR="004756ED" w:rsidRPr="004756ED" w:rsidRDefault="004756ED" w:rsidP="004756ED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Odbor za ljudska prava</w:t>
      </w:r>
    </w:p>
    <w:p w:rsidR="004756ED" w:rsidRPr="004756ED" w:rsidRDefault="004756ED" w:rsidP="00065657">
      <w:pPr>
        <w:keepNext/>
        <w:spacing w:before="360" w:after="240" w:line="30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Završna zapažanja o trećem periodičnom izvješću Hrvatske</w:t>
      </w:r>
      <w:bookmarkStart w:id="1" w:name="_ftnref1"/>
      <w:bookmarkEnd w:id="1"/>
      <w:r w:rsidRPr="004756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4756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HYPERLINK "https://translate.googleusercontent.com/translate_f" \l "_ftn1" </w:instrText>
      </w:r>
      <w:r w:rsidRPr="004756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separate"/>
      </w:r>
      <w:r w:rsidRPr="004756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r-HR" w:eastAsia="hr-HR"/>
        </w:rPr>
        <w:t>[*]</w:t>
      </w:r>
      <w:r w:rsidRPr="004756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4756ED" w:rsidRPr="004756ED" w:rsidRDefault="004756ED" w:rsidP="00065657">
      <w:pPr>
        <w:numPr>
          <w:ilvl w:val="0"/>
          <w:numId w:val="1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razmotrio treće periodično izvješće koje je Hrvatska 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podnijela (CCPR/C/HRV/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3) podnijela na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svojim 3145. i 3146. sastancima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održanim 23.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24. ožujka 2015. (CCPR/C/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SR.3145 i 3146). Na 3157. i 3158. sastancima, odr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žanim 31. ožujka 2015., usvojena su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sljedeća zaklj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učna zapažanja (vidi CCPR/C/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SR.3157 i 3158).</w:t>
      </w:r>
    </w:p>
    <w:p w:rsidR="004756ED" w:rsidRPr="004756ED" w:rsidRDefault="004756ED" w:rsidP="00065657">
      <w:pPr>
        <w:pStyle w:val="Odlomakpopisa"/>
        <w:keepNext/>
        <w:numPr>
          <w:ilvl w:val="1"/>
          <w:numId w:val="1"/>
        </w:numPr>
        <w:spacing w:before="360" w:after="240" w:line="270" w:lineRule="atLeast"/>
        <w:ind w:right="567" w:hanging="44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Uvod </w:t>
      </w:r>
    </w:p>
    <w:p w:rsidR="004756ED" w:rsidRPr="004756ED" w:rsidRDefault="004756ED" w:rsidP="00065657">
      <w:pPr>
        <w:numPr>
          <w:ilvl w:val="0"/>
          <w:numId w:val="2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je zahvalan državi stranci što je prihvatila novi neobavezni postupak za podnošenje izvješća i za podnošenje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svog trećeg periodičnog izvješća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kao odgovor na popis pitanja prije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razmatranja izvještaja (CCPR/C/HRV/Q/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3), po tom postupku. Zadovoljstvo je imati priliku obnoviti svoj konstruktivni dijalog s državom strankom u vezi s koracima koje je Hrvatska poduzela tijekom izvještajnog razdoblja za primjenu Pakta. Odbor zahvaljuje državi stranci na usmenim odgovorima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izaslanstva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na do</w:t>
      </w:r>
      <w:r w:rsidR="007C0C5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datnim informacijama koje je dala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pisanom obliku.</w:t>
      </w:r>
    </w:p>
    <w:p w:rsidR="004756ED" w:rsidRPr="004756ED" w:rsidRDefault="004756ED" w:rsidP="00065657">
      <w:pPr>
        <w:pStyle w:val="Odlomakpopisa"/>
        <w:keepNext/>
        <w:numPr>
          <w:ilvl w:val="1"/>
          <w:numId w:val="1"/>
        </w:numPr>
        <w:spacing w:before="360" w:after="240" w:line="270" w:lineRule="atLeast"/>
        <w:ind w:right="567" w:hanging="44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Pozitivni aspekti </w:t>
      </w:r>
    </w:p>
    <w:p w:rsidR="004756ED" w:rsidRPr="004756ED" w:rsidRDefault="004756ED" w:rsidP="00065657">
      <w:pPr>
        <w:numPr>
          <w:ilvl w:val="0"/>
          <w:numId w:val="3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pozdravlja sljedeće zakonodavne i institucionalne korake koje je poduzela država stranka:</w:t>
      </w:r>
    </w:p>
    <w:p w:rsidR="004756ED" w:rsidRPr="004756ED" w:rsidRDefault="00F75CD8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donošenje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Zakona o suzbijanju diskriminacije i njegovih izmjena i dopuna, 2012. godine; </w:t>
      </w:r>
    </w:p>
    <w:p w:rsidR="004756ED" w:rsidRPr="004756ED" w:rsidRDefault="004756ED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donošenje Zakona o azilu 2010. godine; </w:t>
      </w:r>
    </w:p>
    <w:p w:rsidR="004756ED" w:rsidRPr="004756ED" w:rsidRDefault="00F75CD8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zmjene i dopune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Kaznenog zakona koja predviđa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ju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strože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kazne za zločine iz mržnje, 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013. godine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; </w:t>
      </w:r>
    </w:p>
    <w:p w:rsidR="004756ED" w:rsidRPr="004756ED" w:rsidRDefault="004756ED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donošenje Nacionalnog programa zaštite i 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promicanja ljudskih prava (2013.</w:t>
      </w:r>
      <w:r w:rsidR="00FE6ACF" w:rsidRPr="00CC0005">
        <w:t>–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2016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); </w:t>
      </w:r>
    </w:p>
    <w:p w:rsidR="004756ED" w:rsidRPr="004756ED" w:rsidRDefault="004756ED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donošenje Nacionalne politike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ravnopravnost spolova (2011.</w:t>
      </w:r>
      <w:r w:rsidR="00FE6ACF" w:rsidRPr="00CC0005">
        <w:t>–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2015.)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;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:rsidR="004756ED" w:rsidRPr="004756ED" w:rsidRDefault="004756ED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donošenje Nacionalne strategije za izjednačavanje mogućnosti za osobe s invaliditetom (2007.</w:t>
      </w:r>
      <w:r w:rsidR="00FE6ACF" w:rsidRPr="00FE6ACF">
        <w:t xml:space="preserve"> </w:t>
      </w:r>
      <w:r w:rsidR="00FE6ACF" w:rsidRPr="00CC0005">
        <w:t>–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2015.);</w:t>
      </w:r>
    </w:p>
    <w:p w:rsidR="004756ED" w:rsidRPr="004756ED" w:rsidRDefault="004756ED" w:rsidP="00065657">
      <w:pPr>
        <w:pStyle w:val="Odlomakpopisa"/>
        <w:numPr>
          <w:ilvl w:val="1"/>
          <w:numId w:val="3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donošenje Nacionalnog plana za borbu protiv diskriminacije (2008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="00FE6ACF" w:rsidRPr="00CC0005">
        <w:t>–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2013); </w:t>
      </w:r>
    </w:p>
    <w:p w:rsidR="004756ED" w:rsidRPr="004756ED" w:rsidRDefault="004756ED" w:rsidP="00065657">
      <w:pPr>
        <w:numPr>
          <w:ilvl w:val="0"/>
          <w:numId w:val="4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pozdravlja ratifikaciju 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Fakultativnog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protokola uz Konvenciju o pravima dj</w:t>
      </w:r>
      <w:r w:rsidR="00FE6AC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eteta povodom pritužbi,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2013. godine.</w:t>
      </w:r>
    </w:p>
    <w:p w:rsidR="004756ED" w:rsidRPr="004756ED" w:rsidRDefault="00065657" w:rsidP="00065657">
      <w:pPr>
        <w:pStyle w:val="Odlomakpopisa"/>
        <w:keepNext/>
        <w:numPr>
          <w:ilvl w:val="1"/>
          <w:numId w:val="1"/>
        </w:numPr>
        <w:spacing w:before="360" w:after="240" w:line="270" w:lineRule="atLeast"/>
        <w:ind w:right="56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 xml:space="preserve">Ključna pitanja </w:t>
      </w:r>
      <w:r w:rsidR="004756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 preporuke</w:t>
      </w:r>
    </w:p>
    <w:p w:rsidR="004756ED" w:rsidRDefault="004756ED" w:rsidP="00065657">
      <w:pPr>
        <w:pStyle w:val="Odlomakpopisa"/>
        <w:keepNext/>
        <w:spacing w:before="360" w:after="240" w:line="270" w:lineRule="atLeast"/>
        <w:ind w:left="1440" w:right="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756ED" w:rsidRPr="004756ED" w:rsidRDefault="004756ED" w:rsidP="00065657">
      <w:pPr>
        <w:pStyle w:val="Odlomakpopisa"/>
        <w:keepNext/>
        <w:spacing w:before="360" w:after="240" w:line="270" w:lineRule="atLeast"/>
        <w:ind w:left="1440" w:right="56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Nacionaln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institucij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za ljudska prava</w:t>
      </w:r>
    </w:p>
    <w:p w:rsidR="004756ED" w:rsidRPr="004756ED" w:rsidRDefault="004756ED" w:rsidP="00065657">
      <w:pPr>
        <w:numPr>
          <w:ilvl w:val="0"/>
          <w:numId w:val="5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Iako pozdravlja uspostavu Zakona o 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pučkom pravobranitelju, 2012. godine, koji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zahtijeva suradnju između pučkog pravobranitelja i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posebnih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pravobranitelja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Odbor sa žaljenjem bilježi ograničeno praćenje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provedbu preporuka pučkog pravobranitelja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. 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je zabrinut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usprkos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nedavnom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porast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u financiranju,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ograničenim ljudskim i financijs</w:t>
      </w:r>
      <w:r w:rsidR="00C173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kim resursima dodijeljenim Uredu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pučkog pravobranitelja (čl. 2).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Uredu pučkog pravobranitelja osigurati financijske i ljudske resurse potrebne za osiguravanje učinkovitog i neovisnog provođenja mandata u skladu s načelima koja se odnose na status nacionalnih institucija za promicanje i zaštitu 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ljudskih prava (Pariška n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ačela) (Rezolucija Generalne skupštine 48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/134, prilog). Također bi trebala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nastaviti s naporima da zajamči koordinaciju između različitih ureda 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pravobranitelja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kako bi se izbjeglo d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upliciranje zadataka, te pojačati svoje napore da revno i brzo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reag</w:t>
      </w:r>
      <w:r w:rsidR="00C173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ira na preporuke pučkog pravobranitelja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225772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Distribucija</w:t>
      </w:r>
      <w:r w:rsid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Pakta</w:t>
      </w:r>
    </w:p>
    <w:p w:rsidR="004756ED" w:rsidRPr="004756ED" w:rsidRDefault="004756ED" w:rsidP="00065657">
      <w:pPr>
        <w:numPr>
          <w:ilvl w:val="0"/>
          <w:numId w:val="6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Iako primjećuje da međunarodni ugovori imaju prednost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pred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domaćim pravom u državi stranci, Odbor je zabrinut zbog ograničenog broja slučajeva u kojima su </w:t>
      </w:r>
      <w:r w:rsidR="00F91FA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se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domaći sudovi pozvali </w:t>
      </w:r>
      <w:r w:rsidR="00F91FA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na Pakt.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je također zabrinut zbog nedovoljne svijest</w:t>
      </w:r>
      <w:r w:rsidR="00F91FA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o odredbama Pakta u sudskoj i odvjetničkoj zajednici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kao i nedovoljne dostupnosti takvih podataka za civilno društvo, manjine i osobe s invaliditetom (čl. 2). </w:t>
      </w:r>
    </w:p>
    <w:p w:rsidR="00065657" w:rsidRPr="00F91FA9" w:rsidRDefault="004756ED" w:rsidP="00F91FA9">
      <w:pPr>
        <w:spacing w:after="0" w:line="240" w:lineRule="atLeast"/>
        <w:ind w:left="1418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poduzeti odgovarajuće mjere kako bi podigla svijest o </w:t>
      </w:r>
      <w:r w:rsidR="00F91FA9"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Paktu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među sucima, odvjetnicima i tužiteljima ka</w:t>
      </w:r>
      <w:r w:rsidR="00F91FA9"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ko bi osigurala da domaći sudovi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uzimaju </w:t>
      </w:r>
      <w:r w:rsidR="00F91FA9"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 obzir njegove odredbe. Trebala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bi poduzeti učinkovite mjere za </w:t>
      </w:r>
      <w:r w:rsidR="00225772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distribuciju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Pakta u</w:t>
      </w:r>
      <w:r w:rsidR="00F91FA9"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nutar države stranke, 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prevesti </w:t>
      </w:r>
      <w:r w:rsidR="00F91FA9"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ga i učiniti dostupnim</w:t>
      </w:r>
      <w:r w:rsidRPr="00F91FA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svima.</w:t>
      </w:r>
    </w:p>
    <w:p w:rsidR="00065657" w:rsidRDefault="00065657" w:rsidP="00065657">
      <w:pPr>
        <w:spacing w:after="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Default="004756ED" w:rsidP="00065657">
      <w:pPr>
        <w:spacing w:after="0" w:line="240" w:lineRule="atLeast"/>
        <w:ind w:left="1418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Etničko profiliranje</w:t>
      </w:r>
    </w:p>
    <w:p w:rsidR="00F75CD8" w:rsidRPr="004756ED" w:rsidRDefault="00F75CD8" w:rsidP="00065657">
      <w:pPr>
        <w:spacing w:after="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numPr>
          <w:ilvl w:val="0"/>
          <w:numId w:val="7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zabrinut zbog prakse etničkog profiliranja od strane službenika za provedbu zakona koji ciljaju određene etničke manjine, posebno Rome, za koje se čini da su </w:t>
      </w:r>
      <w:r w:rsidR="00225772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nerazmjerno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pogođeni čestim provjerama identiteta i ispitivanjima bez</w:t>
      </w:r>
      <w:r w:rsidR="00620090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ikakve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sumnje u pogrešno postup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anje (čl. 2, 9, 12 , 17 i 26).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poduzeti sve potrebne mjere za djelotvornu borbu i eliminiranje etničkog profiliranja od strane službenika za provedbu zakona, između ostalog, </w:t>
      </w:r>
      <w:r w:rsidR="00620090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tako da jasno definira i zabrani etničko profiliranje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zakonom te pružanjem obvezne obuke o kulturnoj svijesti i neprihvatljivosti </w:t>
      </w:r>
      <w:r w:rsidR="00620090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etničkog profiliranja za djelatnike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policije. T</w:t>
      </w:r>
      <w:r w:rsidR="00620090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akođer trebala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bi istražiti i nedolično ponašanje na temelju etni</w:t>
      </w:r>
      <w:r w:rsidR="00620090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čke diskriminacije, te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 odgovarajući način sankcionirati počinitelje.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Osobe bez državljanstva </w:t>
      </w:r>
    </w:p>
    <w:p w:rsidR="004756ED" w:rsidRPr="004756ED" w:rsidRDefault="004756ED" w:rsidP="00065657">
      <w:pPr>
        <w:numPr>
          <w:ilvl w:val="0"/>
          <w:numId w:val="8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zabrinut zbog broja osoba bez državljanstva, uglavnom Roma, pod jurisdikcijom države stranke koje se suočavaju s poteškoćama u ispunjavanju uvjeta za dobivanje hrvatskog državljanstva, jer često </w:t>
      </w:r>
      <w:r w:rsidR="00620090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ne posjeduju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osobne isprave. Odbor je posebno zabrinut za osobe koje su nakon raspada Socijalističke Federativne Republike Jugoslavije ostale bez državljanstva. Odbor smatra da ovakva situacija 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predstavlja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prepreku jednoj od najugroženijih skupina, Romima, 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uživa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nje cijelog niza ljudskih prava, uključivš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 i ona 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pokrivena Paktom, te ih sprječava da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uživaju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između ostalog, 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>socijalne usluge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socijaln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 naknade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te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odgovarajuće</w:t>
      </w:r>
      <w:r w:rsidR="000400A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stambeno zbrinjavanje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a također ograničava njihov pristu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 zaposlenju (čl. 2, 24 i 26).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poduzeti sve potrebne mjere kako bi osigurala potpuno uživanje prava </w:t>
      </w:r>
      <w:r w:rsidR="002B0A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garantiranih Paktom,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</w:t>
      </w:r>
      <w:r w:rsidR="002B0A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za sve svoje stanovnike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, uključujući i</w:t>
      </w:r>
      <w:r w:rsidR="002B0A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osobe bez državljanstva. Trebala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bi uspostaviti i provesti učinkovite mjere za suzbijanje apatrid</w:t>
      </w:r>
      <w:r w:rsidR="002B0A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nosti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 reguliranje statusa Roma, uključujući omogućavanje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pristupa identifikacijskoj dokumentaciji. Država stranka također bi trebala povećati svoje napore kako bi osigurala nediskriminirajući pristup odgovarajućim smještaj</w:t>
      </w:r>
      <w:r w:rsidR="002B0A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nim kapacitetima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, socijalnim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naknadama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 uslugama za sve žrtve prošlih sukoba pod svojom jurisdikcijom, uključujući i Rome.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Zločini iz mržnje</w:t>
      </w:r>
    </w:p>
    <w:p w:rsidR="004756ED" w:rsidRPr="004756ED" w:rsidRDefault="004756ED" w:rsidP="00065657">
      <w:pPr>
        <w:numPr>
          <w:ilvl w:val="0"/>
          <w:numId w:val="9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Pozdravljajući osnivanje Radne skupine za praćenje zločina iz mržnje, Odbor podsjeća na svoje prethodne prepor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uke (vidi CCPR/C/HRV/CO/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2, stavak 5.) i ponovno izražava zabrinutost zbog stalnih izvještaja o rasističkim napadima na pripadnike etničkih manjinskih skupina, osobito Rom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Srb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. Odbor je također zabrinut zbog nedostatka odgovarajuće istrage i kaznenog gonjenja 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odgovarajuć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ih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nak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nad</w:t>
      </w:r>
      <w:r w:rsidR="002B0A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žrtve (čl. 2. i 27.).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ojačati svoje napore u borbi protiv rasističkih napada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počinjenih od strane 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službeni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ka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za provedbu zakona, posebno 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ono usmjereno 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protiv Roma i Srba, između ostalog, 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tako da se službenicima za provedbu zakona pruži posebna obuka usmjerena na promicanje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poštivanja ljudskih prava i tolerancije prema različitosti. Država stranka također bi trebala ojačati svoje napore 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 osiguravanju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da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navodni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počinitelji rasističkih napada budu temeljito istraženi i procesuirani</w:t>
      </w:r>
      <w:r w:rsidR="001F0A2B"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, te</w:t>
      </w:r>
      <w:r w:rsidRP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ako budu osuđeni, kažnjeni odgovarajućim sankcijama, te da žrtve budu adekvatno obeštećene.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Diskriminacija na temelju seksualne orijentacije i rodnog identiteta </w:t>
      </w:r>
    </w:p>
    <w:p w:rsidR="004756ED" w:rsidRPr="004756ED" w:rsidRDefault="004756ED" w:rsidP="00065657">
      <w:pPr>
        <w:numPr>
          <w:ilvl w:val="0"/>
          <w:numId w:val="10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zabrinut zbog rasprostranjenosti stereotipa i predrasuda prema </w:t>
      </w:r>
      <w:r w:rsidRPr="004756ED">
        <w:rPr>
          <w:rFonts w:ascii="Times New Roman" w:eastAsia="Times New Roman" w:hAnsi="Times New Roman" w:cs="Times New Roman"/>
          <w:color w:val="222222"/>
          <w:sz w:val="20"/>
          <w:szCs w:val="20"/>
          <w:lang w:val="hr-HR" w:eastAsia="hr-HR"/>
        </w:rPr>
        <w:t xml:space="preserve">lezbijskim, homoseksualnim, biseksualnim i transrodnim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osobama. Posebno je zabrinut zbog izvještaja o nasilnim djelima protiv takvih osoba i zbog nedostatka učinkovite istrage i ka</w:t>
      </w:r>
      <w:r w:rsidR="00157A6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znenog progona (čl. 2. i 26.).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pojačati svoje napore u borbi protiv stereotipa i predrasuda prema lezbijskim, homoseksualnim, biseksualnim i transrodnim osobama, </w:t>
      </w:r>
      <w:r w:rsid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pored ostalog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pokretanjem kampanje za podizanje svijesti u</w:t>
      </w:r>
      <w:r w:rsid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smjerene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 širu javnost i pružanjem odgovarajuće obuke javnih službenika s</w:t>
      </w:r>
      <w:r w:rsid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ciljem zaustavljanja društvene stigmatizacije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takvih osoba. Država stranka trebala bi osigurati da se sve prijave o nasilju nad lezbijskim, homoseksualnim, biseksualnim i transrodnim osobama učinkovito istraže i da počinitelji nasilja </w:t>
      </w:r>
      <w:r w:rsid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utemeljenog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 </w:t>
      </w:r>
      <w:r w:rsidR="001F0A2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spolnoj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osnovi budu procesuirani i sankcionirani. 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Odgovornost za kršenja ljudskih prava u prošlosti </w:t>
      </w:r>
    </w:p>
    <w:p w:rsidR="004756ED" w:rsidRPr="004756ED" w:rsidRDefault="004756ED" w:rsidP="00065657">
      <w:pPr>
        <w:numPr>
          <w:ilvl w:val="0"/>
          <w:numId w:val="11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je zabrinut zbog brojnih slučajeva nekažnj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avanja </w:t>
      </w:r>
      <w:r w:rsidR="00EF79EF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ozbiljnih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kršenja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ljudskih prava počinjenih za vrijeme oružanog sukoba i ponavlja svoje p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rethodne preporuke (vidi CCPR/C/HRV/CO/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2, st. 10). Iako uvažava napore na rješavanju slučajeva ratnih zločina, Odbor sa žaljenjem bilježi spor tempo istraga takvih zločina i sa zabrinutošću primjećuje da je malo istr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aga dovelo do procesuiranja koje bi za rezultat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imalo kažnjavanje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odgovornih. Odbor prima na znanje informacije koje je izaslanstvo dostavilo u vezi s kriterijima za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progon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ratnih zločina, ali također primjećuje da je od</w:t>
      </w:r>
      <w:r w:rsidR="00EF79E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abir slučajeva (uključujući nekadašnji fokus na suđenja u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odsutnosti) očito neproporcionalno usmjeren na etničke Srbe. Odbor je također zabrinut zbog poteškoća s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 xml:space="preserve">kojima se suočavaju pojedinci koji pokušavaju dobiti naknadu od države stranke za kršenje ljudskih prava tijekom sukoba, posebno za </w:t>
      </w:r>
      <w:r w:rsidR="00157A6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ratne zločine (čl. 2., 6. i 7.).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ubrzati progon slučajeva ratnih zločina i zločina protiv čovječnosti i osigurati da se svi takvi slučajevi procesuiraju na nediskriminirajući način, bez obzira na </w:t>
      </w:r>
      <w:r w:rsidR="00157A6F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etnicitet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počinitelja. Država stranka također bi trebala osigurati da sve žrtve i njihove obitelji dobiju odgova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rajuću naknadu za takve povrede</w:t>
      </w:r>
      <w:r w:rsidR="00157A6F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Nestale osobe</w:t>
      </w:r>
    </w:p>
    <w:p w:rsidR="004756ED" w:rsidRPr="004756ED" w:rsidRDefault="00157A6F" w:rsidP="00065657">
      <w:pPr>
        <w:numPr>
          <w:ilvl w:val="0"/>
          <w:numId w:val="12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bilježi sa žaljenjem da sudbina 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oko 1.600 osoba koje su nestale tijekom rata ostaj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 neriješena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. Odbor također sa zabrinutošću primjećuje nedostatak transparentnosti s obzirom na metodologiju koja se koristi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odabiru regija za istraživanja i ekshumacije (čl. 2., 6. i 7.).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bi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trebala poduzeti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neodgodive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 učinkovite korake kako bi istražila sve neriješene slučajeve nestalih</w:t>
      </w:r>
      <w:r w:rsidR="00157A6F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osoba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 privela počinitelje pravdi. Država stranka trebala bi poduzeti sve potrebne mjere kako bi osigurala da se aktivnosti ekshumacije temelje na objektivnim kriterijima i provode na transparentan način. Treba osigurati da </w:t>
      </w:r>
      <w:r w:rsidR="00157A6F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obitelji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nestalih osoba ima</w:t>
      </w:r>
      <w:r w:rsidR="00157A6F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ju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pristup informacijama o sudbini žrtava. 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Tražitelji azila i izbjeglice</w:t>
      </w:r>
    </w:p>
    <w:p w:rsidR="004756ED" w:rsidRPr="004756ED" w:rsidRDefault="004756ED" w:rsidP="00065657">
      <w:pPr>
        <w:numPr>
          <w:ilvl w:val="0"/>
          <w:numId w:val="13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ostaje zabrinut zbog činjenice da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se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značajan broj izbjeglica, povratnika i interno raseljenih osoba još uvijek nije </w:t>
      </w:r>
      <w:r w:rsidR="00157A6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ponovno doselilo</w:t>
      </w:r>
      <w:r w:rsidR="0021612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te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dalje </w:t>
      </w:r>
      <w:r w:rsidR="0021612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borave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kolektivnim skloništima. Odbor sa žaljenjem primjećuje da je provedba programa stambenog zbrinjavanja usp</w:t>
      </w:r>
      <w:r w:rsidR="00157A6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orila od 2012. (čl. 2. i 12.).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Odbor ponavlja svoje prethodn</w:t>
      </w:r>
      <w:r w:rsidR="0021612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 preporuke (vidjeti CCPR/C/HRV/CO/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2, st</w:t>
      </w:r>
      <w:r w:rsidR="0021612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avak 6.) i preporučuje državi stranci da ubrza napore na preselje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nju i povratku izbjeglica, povratn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ika i interno raseljenih osoba.</w:t>
      </w: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Ravnopravnost spolova</w:t>
      </w:r>
    </w:p>
    <w:p w:rsidR="004756ED" w:rsidRPr="004756ED" w:rsidRDefault="004756ED" w:rsidP="00065657">
      <w:pPr>
        <w:numPr>
          <w:ilvl w:val="0"/>
          <w:numId w:val="14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podsjeća na svoje prethodne prepor</w:t>
      </w:r>
      <w:r w:rsidR="0021612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uke (vidi CCPR/C/HRV/CO/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2, stavak 7.) i sa zabrinutošću napominje da su žene i u javnom i u privatnom sektoru nedovoljno zastupljene, posebno na pozicijama 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donošenja odluka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Odbor je također zabrinut zbog postojanja stereotipa o položaju žena u društvu, uključujući žen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ruralnim područjima i žen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 invaliditetom (čl. 2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3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26</w:t>
      </w:r>
      <w:r w:rsidR="0074254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).</w:t>
      </w:r>
    </w:p>
    <w:p w:rsidR="00065657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pojačati napore na povećanju sudjelovanja žena u javnom i privatnom sektoru, ako je potrebno odgovarajućim privremenim posebnim mjerama za primjenu odredaba Pakta. Država stranka trebala bi poduzeti praktične korake potrebne za iskorjenjivanje stereotipa o položaju žene u društvu općenito </w:t>
      </w:r>
      <w:r w:rsidR="0074254C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posebno o ženama u ruralnim područjima i ženama s invaliditetom . </w:t>
      </w:r>
    </w:p>
    <w:p w:rsidR="00065657" w:rsidRDefault="00065657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418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Rodno utemeljeno nasilje</w:t>
      </w:r>
    </w:p>
    <w:p w:rsidR="004756ED" w:rsidRPr="004756ED" w:rsidRDefault="0074254C" w:rsidP="00065657">
      <w:pPr>
        <w:numPr>
          <w:ilvl w:val="0"/>
          <w:numId w:val="15"/>
        </w:numPr>
        <w:spacing w:after="120" w:line="240" w:lineRule="atLeast"/>
        <w:ind w:left="1418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Iako pohvaljuje državu stranku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kriminaliziranje nasilja u obitelji u svom Kaznenom zakonu, Odbor sa zabrinutošću primj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ećuje nedosljednu primjenu kazni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zbog činjenice da se nasilje u obitelji može definirati i kao prekršaj. Odbor je zabrinut zbog izvješća da se slučajevi ne istražuju, da se osumnjičeni ne procesuiraju i da počinitelji dobivaju blaže kazne. Odbor je posebno zabrinut zbog opetovanih izvješća da su i počinitelj i žrtva u slučajevima obiteljskog nasilja uhićeni i osuđeni. Odbor je također zabrinut zbog malog broja žena koje koriste sustav besplatne pravne pomoći, malog broja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izdanih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mjera zaštite i nedostatka praćenja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zaštitnih odredbi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što ih čini u velikoj 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 xml:space="preserve">mjeri neučinkovitima. Nadalje, Odbor je zabrinut zbog nedovoljnog broja skloništa za žrtve obiteljskog nasilja.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dbor sa žaljenjem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bilježi i 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izostanak statističkih podataka o djelima n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asilja u obitelji (čl. 3. i 7.).</w:t>
      </w:r>
    </w:p>
    <w:p w:rsidR="004756ED" w:rsidRPr="004756ED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Država stranka trebala bi:</w:t>
      </w:r>
    </w:p>
    <w:p w:rsidR="004756ED" w:rsidRPr="00065657" w:rsidRDefault="00C7217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svojiti sveobuhvatan pristup sprječavanju i 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suočavanju s nasiljem usmjerenom prema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ž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enama u svim njegovim oblicima;</w:t>
      </w:r>
    </w:p>
    <w:p w:rsidR="004756ED" w:rsidRPr="00065657" w:rsidRDefault="00C7217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ojačati mjere podizanja svijesti policije, sudstva, tužitelja, predstavnika zajednice, žena i muškaraca o </w:t>
      </w:r>
      <w:r w:rsidR="00F75CD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značaju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nasilja u obitelji i njegovom šte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tnom utjecaju na živote žrtava;</w:t>
      </w:r>
    </w:p>
    <w:p w:rsidR="004756ED" w:rsidRPr="00065657" w:rsidRDefault="00C7217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sigurati da policija pažljivo istraži slučajeve nasilja u obitelji, da počinitelji budu procesuirani i ako budu osuđeni kažnjeni odgovarajućim sankcijama, te da ž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rtve budu adekvatno obeštećene;</w:t>
      </w:r>
    </w:p>
    <w:p w:rsidR="004756ED" w:rsidRPr="00065657" w:rsidRDefault="00C7217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E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liminirati praksu hapšenja i osude 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i 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počinitelja i žrtve u s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lučajevima obiteljskog nasilja;</w:t>
      </w:r>
    </w:p>
    <w:p w:rsidR="004756ED" w:rsidRPr="00065657" w:rsidRDefault="00C7217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</w:t>
      </w:r>
      <w:r w:rsidR="004756ED"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sigurati izdavanje djelotvornih zaštitnih naloga za jamčenje sigurnosti žrtava i osigurati da su poduzete mjere</w:t>
      </w:r>
      <w:r w:rsidR="003E55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za praćenje naredbi o zaštiti;</w:t>
      </w:r>
    </w:p>
    <w:p w:rsidR="004756ED" w:rsidRPr="00065657" w:rsidRDefault="004756E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Osigurati raspoloživost dovoljnog broja sklon</w:t>
      </w:r>
      <w:r w:rsidR="00C7217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išta s odgovarajućim resursima;</w:t>
      </w:r>
    </w:p>
    <w:p w:rsidR="00065657" w:rsidRPr="00065657" w:rsidRDefault="004756ED" w:rsidP="00065657">
      <w:pPr>
        <w:pStyle w:val="Odlomakpopisa"/>
        <w:numPr>
          <w:ilvl w:val="1"/>
          <w:numId w:val="15"/>
        </w:numPr>
        <w:spacing w:after="120" w:line="240" w:lineRule="atLeast"/>
        <w:ind w:left="2552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Prikupiti podatke o incidentima nasilja u obitelji nad ženama i na temelju takvih podataka nastaviti razvijati održive strategije za borbu protiv kršenja ljudskih prava. </w:t>
      </w:r>
    </w:p>
    <w:p w:rsidR="00065657" w:rsidRPr="00065657" w:rsidRDefault="00065657" w:rsidP="00065657">
      <w:pPr>
        <w:pStyle w:val="Odlomakpopisa"/>
        <w:spacing w:after="120" w:line="240" w:lineRule="atLeast"/>
        <w:ind w:left="2025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065657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Osobe s invaliditetom</w:t>
      </w:r>
    </w:p>
    <w:p w:rsidR="00065657" w:rsidRDefault="004756ED" w:rsidP="00065657">
      <w:pPr>
        <w:numPr>
          <w:ilvl w:val="0"/>
          <w:numId w:val="16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pozdravlja činjenicu da je ukinuta upotreba zatvorenih zadržavajućih kreveta (kaveza / kreveta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 mrežom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kao sredstva za obuzdavanje pacijenata s mentalnim 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oboljenjima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. 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Uvažavajući činjenicu da je nedavno usvojen Zakon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 zaštiti osoba s duševnim smetnjama (2015), Odbor je 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ipak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zabrinut zbog izvješća o prekomjernoj i dugotrajnoj uporabi prisilne hospitalizacije za osobe s intelektualnim ili psihosocijal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nim invaliditetima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(čl. 7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9</w:t>
      </w:r>
      <w:r w:rsidR="00C7217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).</w:t>
      </w:r>
    </w:p>
    <w:p w:rsidR="00065657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 svjetlu općeg komentara Odbora br. 35 (2014) o slobodi i sigurnosti osoba, država stranka trebala bi osigurati da se lišavanje slobode primjenjuje samo kao posljednja mjera i u najkraćem primjerenom</w:t>
      </w:r>
      <w:r w:rsidR="00C7217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vremenskom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roku, te da je popraćena odgovarajućim proceduralnim i materijalnim jamstvima utvrđenim zakonom. Država stranka trebala bi osigurati poštivanje stavova pojedin</w:t>
      </w:r>
      <w:r w:rsidR="00C7217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ca i osigurati da svaki </w:t>
      </w:r>
      <w:r w:rsidR="00722DD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skrbnik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istinski zastupa i brani njegove želje i interese. Nadalje, država stranka trebala bi uspostaviti neovisni sustav praćenja i izvještavanja i osigurati da se zloupotrebe učinkovito istražuju i procesuiraju te da se pružaju odštete žrtvama i njihovim obiteljima. Država stranka trebala bi promicati psihijatrijsku skrb usmjerenu na očuvanje dostojanstva pacijenata, </w:t>
      </w:r>
      <w:r w:rsidR="00722DD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i i odraslih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i maloljetnika, </w:t>
      </w:r>
      <w:r w:rsidR="00722DD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razviti plan deinstitucionalizacije, uključujući odgovarajuće programe </w:t>
      </w:r>
      <w:r w:rsidR="00722DD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izvanbolničke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skrbi i skrbi u zajednici.</w:t>
      </w:r>
    </w:p>
    <w:p w:rsidR="00065657" w:rsidRDefault="00065657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E5B4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Trgovanje ljudima</w:t>
      </w:r>
    </w:p>
    <w:p w:rsidR="004756ED" w:rsidRPr="004756ED" w:rsidRDefault="004756ED" w:rsidP="00065657">
      <w:pPr>
        <w:numPr>
          <w:ilvl w:val="0"/>
          <w:numId w:val="17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Odbor prima na znanje izvješća koja ukazuju na nazad</w:t>
      </w:r>
      <w:r w:rsidR="00205780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ova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nje s obzirom na mjere poduzete za suzbijanje trgovanja ljudima. Odbor je također zabrinut kako trgovina ljudima </w:t>
      </w:r>
      <w:r w:rsidR="00F75CD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dalje</w:t>
      </w:r>
      <w:r w:rsidR="000B0E5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postoji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državi stranci. Odbor je dodatno zabrinut zbog malog broja kaznenih progona i </w:t>
      </w:r>
      <w:r w:rsidR="000B0E5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blagosti kazni izrečenih počiniteljima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(članak 8.). </w:t>
      </w:r>
    </w:p>
    <w:p w:rsidR="00065657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Država stranka trebala bi energično provoditi svoju javnu politiku za borbu protiv trgovine ljudima. Treba nastaviti s naporima na podizanju svijesti o suzbijanju trgovanja ljudima, uključujući na regionalnoj razini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te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 suradnji sa susjednim zemljama. Država stranka treba obu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čiti policijske službenike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, 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službenike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granične 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kontrole, suce, odvjetnike i drugo relevantno osoblje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 cilju podizanja svijesti o tom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lastRenderedPageBreak/>
        <w:t>pitanju i prava žrtava. Treba osigurati da se sve osobe odgovorne za trgovinu ljudima procesuiraju i kažnjavaju razmjerno počinjenim zločinima, te da se žrtve trgovine ljudima obeštete i rehabilitiraju. Nadalje, država stranka trebala bi pojačati svoje napore na identificiranju žrtava trgovine ljudima i osigurati sustavno prikupljanje podataka o trgovini ljudima, koj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i 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bi trebal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biti 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raščlanjeni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po dobi, spolu i etničkom podrijetlu, a također bi trebale biti usmjerene na </w:t>
      </w:r>
      <w:r w:rsidR="00275AA3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put trgovanja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od, do i kroz </w:t>
      </w:r>
      <w:r w:rsidR="000B0E5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njen teritorij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:rsidR="00065657" w:rsidRDefault="00065657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445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Besplatna pravna pomoć</w:t>
      </w:r>
    </w:p>
    <w:p w:rsidR="004756ED" w:rsidRPr="004756ED" w:rsidRDefault="000B4454" w:rsidP="00065657">
      <w:pPr>
        <w:numPr>
          <w:ilvl w:val="0"/>
          <w:numId w:val="18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Iako pozdravlja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usvajanje novog Zakona o besplatnoj pravnoj pomoći (2014), Odbor je zabrinut zbog dostupnosti besplatne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pravne pomoći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naju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groženijim skupinama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(članak 14.).</w:t>
      </w:r>
    </w:p>
    <w:p w:rsidR="00065657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Država stranka trebala bi nastaviti jačati svoj program besplatne pravne pomoći kako bi osigurala besplatnu pravnu pomoć u svim slučajevima kad to zahtijeva interes pravde. Država stranka trebala bi osigurati odgovarajuće resurse za sustav besplatne pravne pomoći i uvesti mehanizme za praćenje kvalitete pružene pravne pomoći.</w:t>
      </w:r>
    </w:p>
    <w:p w:rsidR="00065657" w:rsidRDefault="00065657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4454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Uvjeti pritvora</w:t>
      </w:r>
    </w:p>
    <w:p w:rsidR="004756ED" w:rsidRPr="004756ED" w:rsidRDefault="000B4454" w:rsidP="00065657">
      <w:pPr>
        <w:numPr>
          <w:ilvl w:val="0"/>
          <w:numId w:val="19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Uvažavajući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napore države stranke u izgradnji i obnovi mjesta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osobe lišene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slobode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 ciljem poboljšanja uvjeta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Odbor podsjeća na svoje prethodne prepor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uke (vidi CCPR/C/HRV/CO/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2, stavak 13.) i ponovno izražava zabrinutost zbog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ustrajno </w:t>
      </w:r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loših uvjeta u pritvorskim objektima, uključujući prenapučenost u nekim pritvorskim centrima i neadekvatan pristup zdravstvenim uslugama. Odbor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je posebno zabrinut uvjetima u županijskom Z</w:t>
      </w:r>
      <w:r w:rsidR="000656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atvoru u Zagrebu (članak 10.).</w:t>
      </w:r>
    </w:p>
    <w:p w:rsidR="00065657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ojačati mjere za rješavanje prenapučenosti u pritvorskim centrima i zatvorima, uključujući i povećanim pribjegavanjem alternativnim oblicima kažnjavanja. Također bi se trebalo osigurati da novi objekti ispunjavaju međunarodne standarde, izdvajanjem dovoljnih resursa za njihovu izgradnju i rad. Država stranka trebala bi pregledati uvjete </w:t>
      </w:r>
      <w:r w:rsidR="00275AA3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smještaja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 zatvorima, posebice u Županijskom zatvoru u Zagrebu, kako bi zajamčila da se prema osobama lišenim slobode postupa u skladu sa zahtjevima članka 10. Pakta i Standardnim minimalnim pravi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lima za postupanje </w:t>
      </w:r>
      <w:r w:rsidR="00F6116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sa zatvorenicima</w:t>
      </w:r>
      <w:r w:rsidR="0006565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:rsidR="00065657" w:rsidRDefault="00065657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4756ED" w:rsidRPr="004756ED" w:rsidRDefault="00F6116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Djeca migranti bez pratnje i razdvojena djeca migranti</w:t>
      </w:r>
    </w:p>
    <w:p w:rsidR="00E31CAB" w:rsidRDefault="004756ED" w:rsidP="00E31CAB">
      <w:pPr>
        <w:numPr>
          <w:ilvl w:val="0"/>
          <w:numId w:val="20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zabrinut zbog </w:t>
      </w:r>
      <w:r w:rsidR="00F6116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izvještaja o zanemarivanju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situacije </w:t>
      </w:r>
      <w:r w:rsidR="00F6116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 djecom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bez pratnje i </w:t>
      </w:r>
      <w:r w:rsidR="00F6116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razdvojenoj djeci migrantima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zemlji. Odbor sa zabrinutošću primjećuje da u postojećim zakonskim postupcima za imenovanje </w:t>
      </w:r>
      <w:r w:rsidR="00F6116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skrbnika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nisu uspostavljeni jasni kriteriji za 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postavljanje skrbnika (čl. 24).</w:t>
      </w:r>
    </w:p>
    <w:p w:rsidR="00E31CAB" w:rsidRPr="00E31CAB" w:rsidRDefault="004756ED" w:rsidP="00E31CAB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razviti postupak za rješavanje specifičnih potreba djece </w:t>
      </w:r>
      <w:r w:rsidR="00F6116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ne-državljana bez pratnje i osigurati da su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njih</w:t>
      </w:r>
      <w:r w:rsidR="00F6116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ovi najbolji interesi </w:t>
      </w:r>
      <w:r w:rsidR="00275AA3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zaštićeni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tijekom bilo kojeg </w:t>
      </w:r>
      <w:r w:rsidR="00F6116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postupka imigracijske prirode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, protjerivanja ili srodnog postupka. Država stranka trebala bi uspostaviti jasne kriterije za imenovanje skrbnika i poduzeti sve potrebne mjere kako bi se osiguralo da se starateljstvo za maloljetnike bez pratnje dodjeljuje osobama koje će predstavljati najbolje interese maloljetnika.</w:t>
      </w:r>
    </w:p>
    <w:p w:rsidR="00E31CAB" w:rsidRDefault="00E31CAB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F6116D" w:rsidRDefault="00F6116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F6116D" w:rsidRDefault="00F6116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F6116D" w:rsidRDefault="00F6116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E31CAB" w:rsidRPr="00E31CAB" w:rsidRDefault="004756E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E31CA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Diskriminacija Roma </w:t>
      </w:r>
    </w:p>
    <w:p w:rsidR="00E31CAB" w:rsidRPr="00E31CAB" w:rsidRDefault="00E31CAB" w:rsidP="00E31CAB">
      <w:pPr>
        <w:numPr>
          <w:ilvl w:val="0"/>
          <w:numId w:val="20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>Odbor podsjeća na svoje p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rethodne preporuke (vidi CCPR/C/HRV/CO/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2, stavak 19.) i ponovno izražava zabrinutost zbog </w:t>
      </w:r>
      <w:r w:rsidRPr="00CA5E88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de facto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diskriminacije Roma. Odbor je posebno zabrinut zbog kontinuiranih izvješća o </w:t>
      </w:r>
      <w:r w:rsidRPr="00CA5E88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de facto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segregaciji romske djece u obrazovnom sektoru i zbog nedostatka mogućnosti 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da budu podučavani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 njihovim jezicima. Odbor je također zabrinut zbog statističkih podataka koji sugeriraju ograničenu razinu uživanja prava Roma i Srba na područjima 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pristupa stanovanju, zdravstvenoj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zaštiti, zapošljavanju i sudjelovanju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obavljanju javnih poslova, između ostalog (čl. 2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24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- 27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).</w:t>
      </w:r>
    </w:p>
    <w:p w:rsidR="00E31CAB" w:rsidRDefault="00E31CAB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E31CAB" w:rsidRDefault="004756E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Država stranka trebala bi poduzeti 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trenutne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korake za iskorjenjivanje segregacije romske djece u svom obrazovnom sustavu osiguravajući da se 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raspored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 škole provodi na indiv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idualnoj osnovi i da na njega ne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utječe etnička skupina 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kojoj dijete pripada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. 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ržava stranka treba pojačati napore kako bi se osigu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ralo da romska djeca mogu ostvariti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obrazovanje, na materinjem jeziku, koji je iste kvalitete i sadržaja kao i kod ostalih studenata. Država stranka trebala </w:t>
      </w:r>
      <w:r w:rsidR="00CA5E88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bi poduzeti i praktične mjere kako bi poboljšala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prava Roma u vezi s pristupom stanovanju, zdravstvenoj skrbi, zapošljavanju i sudjelovanju u obavljanju javnih poslova.</w:t>
      </w:r>
    </w:p>
    <w:p w:rsidR="00E31CAB" w:rsidRDefault="00E31CAB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4756ED" w:rsidRPr="004756ED" w:rsidRDefault="004756ED" w:rsidP="00E31CAB">
      <w:pPr>
        <w:pStyle w:val="Odlomakpopisa"/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Prava manjina</w:t>
      </w:r>
    </w:p>
    <w:p w:rsidR="004756ED" w:rsidRPr="004756ED" w:rsidRDefault="004756ED" w:rsidP="00065657">
      <w:pPr>
        <w:numPr>
          <w:ilvl w:val="0"/>
          <w:numId w:val="22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Odbor je zabrinut kako se 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pripadnici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nacionalni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h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manjina suočavaju s problemima u uživanju prava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u zajednici s drugim pripadnicima svoje skupine,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na korištenje vlastitog jezika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posebno 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 pitanju prava 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na </w:t>
      </w:r>
      <w:r w:rsidR="00CA5E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korištenje ćirilice</w:t>
      </w:r>
      <w:r w:rsidR="00E31C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(čl. 27).</w:t>
      </w:r>
    </w:p>
    <w:p w:rsidR="00E31CAB" w:rsidRDefault="004756ED" w:rsidP="00E31CAB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Država stranka trebala bi poduzeti dodatne mjere, uključujući pozitivne mjere, za promicanje međuetničke tolerancije u svom raznolikom društvu, te u potpunosti implementirati pravo na jednako korištenje manjinskih jezika i pisama u skladu sa svojim ustavnim i pravnim okvirom, s posebnim naglaskom na upotreba ćiriličnog pisma u gradu Vukovaru i drugim općinama</w:t>
      </w:r>
      <w:r w:rsidR="00C415A7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na koje se ovo odnosi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:rsidR="00E31CAB" w:rsidRDefault="00E31CAB" w:rsidP="00E31CAB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756ED" w:rsidRPr="004756ED" w:rsidRDefault="004756ED" w:rsidP="00E31CAB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5B4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Sloboda izražavanja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</w:t>
      </w:r>
    </w:p>
    <w:p w:rsidR="004756ED" w:rsidRPr="005E5B45" w:rsidRDefault="004756ED" w:rsidP="00065657">
      <w:pPr>
        <w:numPr>
          <w:ilvl w:val="0"/>
          <w:numId w:val="23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 obzirom na svoja prethodna zaključna z</w:t>
      </w:r>
      <w:r w:rsidR="007D6432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apažanja (vidi CCPR/C/HRV/CO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/2, stavak 17.), Odbor </w:t>
      </w:r>
      <w:r w:rsidR="005E5B45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nadalje izražava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zabrinut</w:t>
      </w:r>
      <w:r w:rsidR="005E5B45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ost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zbog nepostojanja </w:t>
      </w:r>
      <w:r w:rsidR="007D6432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zadovoljavajuće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istrage svih </w:t>
      </w:r>
      <w:r w:rsidR="007D6432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</w:t>
      </w:r>
      <w:r w:rsidR="005E5B45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lu</w:t>
      </w:r>
      <w:r w:rsidR="007D6432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čajeva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zastrašivanja i napada na novinare. </w:t>
      </w:r>
      <w:r w:rsidR="005E5B45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Također je zabrinut</w:t>
      </w:r>
      <w:r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zbog kriminalizacije klevete, koja odvraća medije od objavljivanja kritičnih informacija o stvarima od javnog interesa i koja prijeti slobodi izražavanja i pristupu informacijama svih vrsta (č</w:t>
      </w:r>
      <w:r w:rsidR="00E31CAB" w:rsidRPr="005E5B4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l. 6, 7 i 19).</w:t>
      </w:r>
    </w:p>
    <w:p w:rsidR="004756ED" w:rsidRPr="004756ED" w:rsidRDefault="004756ED" w:rsidP="00065657">
      <w:pPr>
        <w:spacing w:after="120" w:line="240" w:lineRule="atLeast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Država stranka trebala bi jamčiti slobodu izražavanja i slobodu tiska, kako je sadržano u članku 19. Pakta i razrađeno u Općem komentaru Odbora br. 34 (2011) o slobodi mišljenja i izražavanja. Također bi trebal</w:t>
      </w:r>
      <w:r w:rsidR="005E5B4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razmotriti dekriminalizaciju klevete i ograničiti primjenu kaznenog zakona na najozbiljnije slučajeve, imajući u vidu da zatvor u takvim slučajevima nikada nije primjerena kazna. Nadalje, država stranka trebala bi istražiti inciden</w:t>
      </w:r>
      <w:r w:rsidR="005E5B45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te napada na novinare i medije, te</w:t>
      </w:r>
      <w:r w:rsidRPr="004756ED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privesti odgovorne</w:t>
      </w:r>
      <w:r w:rsidR="00E31CA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pred lice pravde.</w:t>
      </w:r>
    </w:p>
    <w:p w:rsidR="004756ED" w:rsidRPr="00385488" w:rsidRDefault="004756ED" w:rsidP="00065657">
      <w:pPr>
        <w:numPr>
          <w:ilvl w:val="0"/>
          <w:numId w:val="24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Država stranka trebala bi široko </w:t>
      </w:r>
      <w:r w:rsid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distribuirati</w:t>
      </w: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Pakt, dva </w:t>
      </w:r>
      <w:r w:rsidR="00AF53C2"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fakultativna</w:t>
      </w: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protokola uz Pakt, tekst svog trećeg periodičnog izvješća i </w:t>
      </w:r>
      <w:r w:rsidR="00385488"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trenutne</w:t>
      </w: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zaključne primjedbe među pravosudnim, zakonodavnim i upravnim tijelima, civilnim društvom i nevladinim organiza</w:t>
      </w:r>
      <w:r w:rsidR="00385488"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cijama koje djeluju u zemlji, te </w:t>
      </w: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široj javnosti. Država stranka trebala bi osigurati da izvješće i </w:t>
      </w:r>
      <w:r w:rsidR="00385488"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trenutna</w:t>
      </w:r>
      <w:r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zaključna zapažanja budu prevedeni na hrvatski jezik i </w:t>
      </w:r>
      <w:r w:rsidR="00385488" w:rsidRP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manjinske jezike koji se koriste u državi stranci.</w:t>
      </w:r>
    </w:p>
    <w:p w:rsidR="004756ED" w:rsidRPr="004756ED" w:rsidRDefault="004756ED" w:rsidP="00065657">
      <w:pPr>
        <w:numPr>
          <w:ilvl w:val="0"/>
          <w:numId w:val="24"/>
        </w:numPr>
        <w:spacing w:after="120" w:line="240" w:lineRule="atLeast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sk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ladu s pravilom 71. stavkom 5. Pravilnika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 radu Odbora, država stranka trebala bi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roku od jedne godine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iznijeti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relevantne informacije o svojoj provedbi preporuka koje je Odbor dao u 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gore navedenim 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stavcima 11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13</w:t>
      </w:r>
      <w:r w:rsidR="0038548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  <w:r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23.</w:t>
      </w:r>
    </w:p>
    <w:p w:rsidR="004756ED" w:rsidRPr="00225772" w:rsidRDefault="004756ED" w:rsidP="00065657">
      <w:pPr>
        <w:numPr>
          <w:ilvl w:val="0"/>
          <w:numId w:val="24"/>
        </w:numPr>
        <w:shd w:val="clear" w:color="auto" w:fill="FFFFFF"/>
        <w:spacing w:after="0" w:line="240" w:lineRule="auto"/>
        <w:ind w:left="1276" w:right="567" w:firstLine="0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>Odbor traži da država stranka podnese svoje sljedeće periodično izvješće do 2. travnja 2020. te da uključi konkretne, ažurirane informacije o provedbi svih svojih preporuka i o Paktu kao cjelini. Odbor zahtijeva od države stranke da prilikom pripreme izvješća</w:t>
      </w:r>
      <w:r w:rsidR="00385488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provede 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široko savjet</w:t>
      </w:r>
      <w:r w:rsidR="00385488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ovanje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 civilnim društvom i nevladinim organizacijama koje djeluju u zemlji. 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 obzirom da je 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država </w:t>
      </w:r>
      <w:r w:rsidR="00225772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stranka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prihvatila pojednostavljeni postupak izvješćivanja, Odbor će pravovremeno dostaviti državi stranci popis </w:t>
      </w:r>
      <w:r w:rsidR="00225772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problema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prije izvješćivanja</w:t>
      </w:r>
      <w:r w:rsidR="00225772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a odgovori u odnosu na njih će se smatrati sljedeć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im</w:t>
      </w:r>
      <w:r w:rsidR="00225772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periodičn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im</w:t>
      </w:r>
      <w:r w:rsidR="00225772"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izvješće</w:t>
      </w:r>
      <w:r w:rsidR="00275AA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</w:t>
      </w:r>
      <w:r w:rsidRPr="0022577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Ograničenje broja riječi za izvješće iznosi 21.200 riječi, u skladu s rezolucijom 68/268 Generalne skupštine.</w:t>
      </w:r>
    </w:p>
    <w:p w:rsidR="00E31CAB" w:rsidRDefault="00E31CAB" w:rsidP="00065657">
      <w:pPr>
        <w:spacing w:after="0" w:line="220" w:lineRule="atLeast"/>
        <w:ind w:left="1276" w:right="567" w:hanging="1134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  <w:bookmarkStart w:id="2" w:name="_ftn1"/>
      <w:bookmarkEnd w:id="2"/>
    </w:p>
    <w:p w:rsidR="004756ED" w:rsidRPr="004756ED" w:rsidRDefault="003C15BC" w:rsidP="00065657">
      <w:pPr>
        <w:spacing w:after="0" w:line="220" w:lineRule="atLeast"/>
        <w:ind w:left="1276" w:right="567" w:hanging="113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hyperlink r:id="rId9" w:anchor="_ftnref1" w:history="1">
        <w:r w:rsidR="004756ED" w:rsidRPr="0047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hr-HR"/>
          </w:rPr>
          <w:t xml:space="preserve">[*] </w:t>
        </w:r>
      </w:hyperlink>
      <w:r w:rsidR="004756ED" w:rsidRPr="004756E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* </w:t>
      </w:r>
      <w:r w:rsidR="004756ED" w:rsidRPr="004756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Odbor ga je usvojio na 113. sjednici (16. ožujka- 2. travnja 2015. ).</w:t>
      </w:r>
    </w:p>
    <w:p w:rsidR="005F70C9" w:rsidRDefault="005F70C9" w:rsidP="00065657">
      <w:pPr>
        <w:ind w:left="1276" w:right="567"/>
      </w:pPr>
    </w:p>
    <w:sectPr w:rsidR="005F70C9" w:rsidSect="00EF79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BC" w:rsidRDefault="003C15BC" w:rsidP="004756ED">
      <w:pPr>
        <w:spacing w:after="0" w:line="240" w:lineRule="auto"/>
      </w:pPr>
      <w:r>
        <w:separator/>
      </w:r>
    </w:p>
  </w:endnote>
  <w:endnote w:type="continuationSeparator" w:id="0">
    <w:p w:rsidR="003C15BC" w:rsidRDefault="003C15BC" w:rsidP="0047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79825"/>
      <w:docPartObj>
        <w:docPartGallery w:val="Page Numbers (Bottom of Page)"/>
        <w:docPartUnique/>
      </w:docPartObj>
    </w:sdtPr>
    <w:sdtEndPr/>
    <w:sdtContent>
      <w:p w:rsidR="00E31CAB" w:rsidRDefault="00E31CAB">
        <w:pPr>
          <w:pStyle w:val="Podnoje"/>
          <w:jc w:val="right"/>
        </w:pPr>
        <w:r w:rsidRPr="00E31CAB">
          <w:rPr>
            <w:rFonts w:ascii="Times New Roman" w:hAnsi="Times New Roman" w:cs="Times New Roman"/>
            <w:sz w:val="24"/>
          </w:rPr>
          <w:fldChar w:fldCharType="begin"/>
        </w:r>
        <w:r w:rsidRPr="00E31CAB">
          <w:rPr>
            <w:rFonts w:ascii="Times New Roman" w:hAnsi="Times New Roman" w:cs="Times New Roman"/>
            <w:sz w:val="24"/>
          </w:rPr>
          <w:instrText>PAGE   \* MERGEFORMAT</w:instrText>
        </w:r>
        <w:r w:rsidRPr="00E31CAB">
          <w:rPr>
            <w:rFonts w:ascii="Times New Roman" w:hAnsi="Times New Roman" w:cs="Times New Roman"/>
            <w:sz w:val="24"/>
          </w:rPr>
          <w:fldChar w:fldCharType="separate"/>
        </w:r>
        <w:r w:rsidR="005E61BD" w:rsidRPr="005E61BD">
          <w:rPr>
            <w:rFonts w:ascii="Times New Roman" w:hAnsi="Times New Roman" w:cs="Times New Roman"/>
            <w:noProof/>
            <w:sz w:val="24"/>
            <w:lang w:val="hr-HR"/>
          </w:rPr>
          <w:t>2</w:t>
        </w:r>
        <w:r w:rsidRPr="00E31C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31CAB" w:rsidRDefault="00E31C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BC" w:rsidRDefault="003C15BC" w:rsidP="004756ED">
      <w:pPr>
        <w:spacing w:after="0" w:line="240" w:lineRule="auto"/>
      </w:pPr>
      <w:r>
        <w:separator/>
      </w:r>
    </w:p>
  </w:footnote>
  <w:footnote w:type="continuationSeparator" w:id="0">
    <w:p w:rsidR="003C15BC" w:rsidRDefault="003C15BC" w:rsidP="0047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F" w:rsidRPr="00EF79EF" w:rsidRDefault="00EF79EF" w:rsidP="00EF79EF">
    <w:pPr>
      <w:pStyle w:val="Zaglavlje"/>
      <w:pBdr>
        <w:bottom w:val="single" w:sz="12" w:space="1" w:color="auto"/>
      </w:pBdr>
      <w:rPr>
        <w:rFonts w:ascii="Times New Roman" w:hAnsi="Times New Roman" w:cs="Times New Roman"/>
      </w:rPr>
    </w:pPr>
    <w:r w:rsidRPr="00EF79EF">
      <w:rPr>
        <w:rFonts w:ascii="Times New Roman" w:hAnsi="Times New Roman" w:cs="Times New Roman"/>
      </w:rPr>
      <w:t>CCPR/C/HRV/CO/3</w:t>
    </w:r>
  </w:p>
  <w:p w:rsidR="00EF79EF" w:rsidRPr="00EF79EF" w:rsidRDefault="00EF79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E60"/>
    <w:multiLevelType w:val="multilevel"/>
    <w:tmpl w:val="FC088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4037B"/>
    <w:multiLevelType w:val="multilevel"/>
    <w:tmpl w:val="8E3876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025" w:hanging="945"/>
      </w:pPr>
      <w:rPr>
        <w:rFonts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5F6A"/>
    <w:multiLevelType w:val="multilevel"/>
    <w:tmpl w:val="6BDC6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671B"/>
    <w:multiLevelType w:val="multilevel"/>
    <w:tmpl w:val="7A0449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67E4C"/>
    <w:multiLevelType w:val="multilevel"/>
    <w:tmpl w:val="F47E4B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763"/>
    <w:multiLevelType w:val="multilevel"/>
    <w:tmpl w:val="157EF9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C3191"/>
    <w:multiLevelType w:val="multilevel"/>
    <w:tmpl w:val="8CC297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C4BDD"/>
    <w:multiLevelType w:val="multilevel"/>
    <w:tmpl w:val="263293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300A1"/>
    <w:multiLevelType w:val="multilevel"/>
    <w:tmpl w:val="AA8644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D2A06"/>
    <w:multiLevelType w:val="multilevel"/>
    <w:tmpl w:val="E9064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D76F4"/>
    <w:multiLevelType w:val="multilevel"/>
    <w:tmpl w:val="72B4D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802F9"/>
    <w:multiLevelType w:val="multilevel"/>
    <w:tmpl w:val="6A1C2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950" w:hanging="87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74E85"/>
    <w:multiLevelType w:val="multilevel"/>
    <w:tmpl w:val="27DA5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61EC7"/>
    <w:multiLevelType w:val="multilevel"/>
    <w:tmpl w:val="FFEC8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33F3E"/>
    <w:multiLevelType w:val="multilevel"/>
    <w:tmpl w:val="E3D29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C70C2"/>
    <w:multiLevelType w:val="multilevel"/>
    <w:tmpl w:val="14569B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D2A03"/>
    <w:multiLevelType w:val="multilevel"/>
    <w:tmpl w:val="D3D05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B3DFB"/>
    <w:multiLevelType w:val="multilevel"/>
    <w:tmpl w:val="306C26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1518D"/>
    <w:multiLevelType w:val="multilevel"/>
    <w:tmpl w:val="9DECFC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9587B"/>
    <w:multiLevelType w:val="multilevel"/>
    <w:tmpl w:val="6472D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97F4C"/>
    <w:multiLevelType w:val="multilevel"/>
    <w:tmpl w:val="CDC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D2ECB"/>
    <w:multiLevelType w:val="multilevel"/>
    <w:tmpl w:val="B2AC2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465B0"/>
    <w:multiLevelType w:val="multilevel"/>
    <w:tmpl w:val="C032CD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20950"/>
    <w:multiLevelType w:val="multilevel"/>
    <w:tmpl w:val="C1A8FF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9"/>
  </w:num>
  <w:num w:numId="9">
    <w:abstractNumId w:val="13"/>
  </w:num>
  <w:num w:numId="10">
    <w:abstractNumId w:val="14"/>
  </w:num>
  <w:num w:numId="11">
    <w:abstractNumId w:val="22"/>
  </w:num>
  <w:num w:numId="12">
    <w:abstractNumId w:val="6"/>
  </w:num>
  <w:num w:numId="13">
    <w:abstractNumId w:val="23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5"/>
  </w:num>
  <w:num w:numId="20">
    <w:abstractNumId w:val="12"/>
  </w:num>
  <w:num w:numId="21">
    <w:abstractNumId w:val="7"/>
  </w:num>
  <w:num w:numId="22">
    <w:abstractNumId w:val="1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A5"/>
    <w:rsid w:val="000400A6"/>
    <w:rsid w:val="00065657"/>
    <w:rsid w:val="000B0E55"/>
    <w:rsid w:val="000B4454"/>
    <w:rsid w:val="00157A6F"/>
    <w:rsid w:val="001D1498"/>
    <w:rsid w:val="001F0A2B"/>
    <w:rsid w:val="00205780"/>
    <w:rsid w:val="00216124"/>
    <w:rsid w:val="00225772"/>
    <w:rsid w:val="00275AA3"/>
    <w:rsid w:val="002B0AED"/>
    <w:rsid w:val="002E5F17"/>
    <w:rsid w:val="00327E9A"/>
    <w:rsid w:val="00372DB2"/>
    <w:rsid w:val="0037369A"/>
    <w:rsid w:val="00385488"/>
    <w:rsid w:val="003C15BC"/>
    <w:rsid w:val="003E55B9"/>
    <w:rsid w:val="0047009A"/>
    <w:rsid w:val="004756ED"/>
    <w:rsid w:val="00560FF6"/>
    <w:rsid w:val="00562EAE"/>
    <w:rsid w:val="005B49A5"/>
    <w:rsid w:val="005E5B45"/>
    <w:rsid w:val="005E61BD"/>
    <w:rsid w:val="005F70C9"/>
    <w:rsid w:val="00620090"/>
    <w:rsid w:val="00722DD4"/>
    <w:rsid w:val="0074254C"/>
    <w:rsid w:val="007C0C5C"/>
    <w:rsid w:val="007D6432"/>
    <w:rsid w:val="009D0504"/>
    <w:rsid w:val="00A012D4"/>
    <w:rsid w:val="00AA2C56"/>
    <w:rsid w:val="00AF53C2"/>
    <w:rsid w:val="00C173BB"/>
    <w:rsid w:val="00C415A7"/>
    <w:rsid w:val="00C7217D"/>
    <w:rsid w:val="00CA5E88"/>
    <w:rsid w:val="00DD6ACD"/>
    <w:rsid w:val="00E31CAB"/>
    <w:rsid w:val="00EF79EF"/>
    <w:rsid w:val="00F6116D"/>
    <w:rsid w:val="00F75CD8"/>
    <w:rsid w:val="00F91FA9"/>
    <w:rsid w:val="00F92081"/>
    <w:rsid w:val="00F93090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11C94-18CA-4EC1-B811-BD5DEAC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56E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7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756E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756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6ED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4756E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6ED"/>
    <w:rPr>
      <w:rFonts w:ascii="Tahoma" w:hAnsi="Tahoma" w:cs="Tahoma"/>
      <w:sz w:val="16"/>
      <w:szCs w:val="16"/>
      <w:lang w:val="en-GB"/>
    </w:rPr>
  </w:style>
  <w:style w:type="paragraph" w:styleId="Zaglavlje">
    <w:name w:val="header"/>
    <w:aliases w:val="6_G"/>
    <w:basedOn w:val="Normal"/>
    <w:link w:val="ZaglavljeChar"/>
    <w:unhideWhenUsed/>
    <w:rsid w:val="00E3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6_G Char"/>
    <w:basedOn w:val="Zadanifontodlomka"/>
    <w:link w:val="Zaglavlje"/>
    <w:uiPriority w:val="99"/>
    <w:rsid w:val="00E31CAB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3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CAB"/>
    <w:rPr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5E5B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5B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5B45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5B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5B4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EF3-DE42-4A59-8122-5DCBB3B9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Ćelap</dc:creator>
  <cp:keywords/>
  <dc:description/>
  <cp:lastModifiedBy>Marija Grbin Živković</cp:lastModifiedBy>
  <cp:revision>2</cp:revision>
  <dcterms:created xsi:type="dcterms:W3CDTF">2020-06-16T13:41:00Z</dcterms:created>
  <dcterms:modified xsi:type="dcterms:W3CDTF">2020-06-16T13:41:00Z</dcterms:modified>
</cp:coreProperties>
</file>